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2A" w:rsidRDefault="00AA2F34" w:rsidP="00AA2F34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</w:pPr>
      <w:r w:rsidRPr="001022F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tr-TR"/>
        </w:rPr>
        <w:t>Kabotajda Taşınan Araç ve Araç x Mil Miktarı</w:t>
      </w:r>
      <w:bookmarkStart w:id="0" w:name="_GoBack"/>
      <w:bookmarkEnd w:id="0"/>
    </w:p>
    <w:tbl>
      <w:tblPr>
        <w:tblW w:w="988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2"/>
        <w:gridCol w:w="2961"/>
        <w:gridCol w:w="1551"/>
        <w:gridCol w:w="1321"/>
        <w:gridCol w:w="1459"/>
      </w:tblGrid>
      <w:tr w:rsidR="0053213E" w:rsidRPr="0053213E" w:rsidTr="0053213E">
        <w:trPr>
          <w:trHeight w:val="788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3213E" w:rsidRPr="00937697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376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YIL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53213E" w:rsidRPr="00937697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376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ARAÇ (Adet)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937697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2003–2019</w:t>
            </w:r>
            <w:r w:rsidRPr="009376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 % Artış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937697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376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Araç x Mil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937697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2003-2019</w:t>
            </w:r>
            <w:r w:rsidRPr="0093769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 xml:space="preserve"> % Artış</w:t>
            </w:r>
          </w:p>
        </w:tc>
      </w:tr>
      <w:tr w:rsidR="0053213E" w:rsidRPr="0053213E" w:rsidTr="0053213E">
        <w:trPr>
          <w:trHeight w:val="316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6.219.645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ECFF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35.880.927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ECFF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157</w:t>
            </w:r>
          </w:p>
        </w:tc>
      </w:tr>
      <w:tr w:rsidR="0053213E" w:rsidRPr="0053213E" w:rsidTr="0053213E">
        <w:trPr>
          <w:trHeight w:val="316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6.900.922</w:t>
            </w: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40.835.592</w:t>
            </w: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3213E" w:rsidRPr="0053213E" w:rsidTr="0053213E">
        <w:trPr>
          <w:trHeight w:val="316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6.961.643</w:t>
            </w: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42.294.836</w:t>
            </w: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3213E" w:rsidRPr="0053213E" w:rsidTr="0053213E">
        <w:trPr>
          <w:trHeight w:val="316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7.773.689</w:t>
            </w: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51.978.669</w:t>
            </w: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3213E" w:rsidRPr="0053213E" w:rsidTr="0053213E">
        <w:trPr>
          <w:trHeight w:val="316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8.161.999</w:t>
            </w: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59.942.527</w:t>
            </w: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3213E" w:rsidRPr="0053213E" w:rsidTr="0053213E">
        <w:trPr>
          <w:trHeight w:val="316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8.866.797</w:t>
            </w: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82.950.808</w:t>
            </w: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3213E" w:rsidRPr="0053213E" w:rsidTr="0053213E">
        <w:trPr>
          <w:trHeight w:val="316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9.315.772</w:t>
            </w: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82.580.396</w:t>
            </w: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3213E" w:rsidRPr="0053213E" w:rsidTr="0053213E">
        <w:trPr>
          <w:trHeight w:val="316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9.400.735</w:t>
            </w: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83.607.444</w:t>
            </w: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3213E" w:rsidRPr="0053213E" w:rsidTr="0053213E">
        <w:trPr>
          <w:trHeight w:val="316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10.402.917</w:t>
            </w: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83.283.519</w:t>
            </w: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3213E" w:rsidRPr="0053213E" w:rsidTr="0053213E">
        <w:trPr>
          <w:trHeight w:val="316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10.710.645</w:t>
            </w: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77.785.568</w:t>
            </w: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3213E" w:rsidRPr="0053213E" w:rsidTr="0053213E">
        <w:trPr>
          <w:trHeight w:val="316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11.318.561</w:t>
            </w: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85.096.902</w:t>
            </w: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3213E" w:rsidRPr="0053213E" w:rsidTr="0053213E">
        <w:trPr>
          <w:trHeight w:val="316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12.166.505</w:t>
            </w: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89.322.962</w:t>
            </w: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3213E" w:rsidRPr="0053213E" w:rsidTr="0053213E">
        <w:trPr>
          <w:trHeight w:val="316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13.042.399</w:t>
            </w: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95.505.115</w:t>
            </w: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3213E" w:rsidRPr="0053213E" w:rsidTr="0053213E">
        <w:trPr>
          <w:trHeight w:val="316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13.050.241</w:t>
            </w: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92.267.227</w:t>
            </w: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3213E" w:rsidRPr="0053213E" w:rsidTr="0053213E">
        <w:trPr>
          <w:trHeight w:val="316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12.638.289</w:t>
            </w: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95.185.009</w:t>
            </w: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3213E" w:rsidRPr="0053213E" w:rsidTr="0053213E">
        <w:trPr>
          <w:trHeight w:val="316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13.159.820</w:t>
            </w: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92.868.442</w:t>
            </w: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53213E" w:rsidRPr="0053213E" w:rsidTr="0053213E">
        <w:trPr>
          <w:trHeight w:val="316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13.420.802</w:t>
            </w:r>
          </w:p>
        </w:tc>
        <w:tc>
          <w:tcPr>
            <w:tcW w:w="1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EC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92.289.144</w:t>
            </w:r>
          </w:p>
        </w:tc>
        <w:tc>
          <w:tcPr>
            <w:tcW w:w="1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3213E" w:rsidRDefault="0053213E" w:rsidP="00AA2F34">
      <w:pPr>
        <w:jc w:val="center"/>
      </w:pPr>
    </w:p>
    <w:p w:rsidR="00AA2F34" w:rsidRDefault="00AA2F34" w:rsidP="00AA2F3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tr-TR"/>
        </w:rPr>
      </w:pPr>
      <w:r w:rsidRPr="00AA2F3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tr-TR"/>
        </w:rPr>
        <w:t>Kabotajda Taşınan Araç Miktarı</w:t>
      </w:r>
    </w:p>
    <w:p w:rsidR="0053213E" w:rsidRDefault="0053213E" w:rsidP="00AA2F3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-252095</wp:posOffset>
            </wp:positionH>
            <wp:positionV relativeFrom="margin">
              <wp:posOffset>5262880</wp:posOffset>
            </wp:positionV>
            <wp:extent cx="6248400" cy="2886075"/>
            <wp:effectExtent l="0" t="0" r="0" b="9525"/>
            <wp:wrapSquare wrapText="bothSides"/>
            <wp:docPr id="2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8F5D18F8-F143-4E8E-85A8-493198BE94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213E" w:rsidRPr="00AA2F34" w:rsidRDefault="0053213E" w:rsidP="00AA2F3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tr-TR"/>
        </w:rPr>
      </w:pPr>
    </w:p>
    <w:p w:rsidR="00AA2F34" w:rsidRDefault="00AA2F34" w:rsidP="00AA2F34">
      <w:pPr>
        <w:spacing w:after="0" w:line="240" w:lineRule="auto"/>
        <w:jc w:val="center"/>
      </w:pPr>
    </w:p>
    <w:p w:rsidR="00AA2F34" w:rsidRDefault="00AA2F34" w:rsidP="005F7D11">
      <w:pPr>
        <w:jc w:val="center"/>
      </w:pPr>
    </w:p>
    <w:p w:rsidR="00AB54D7" w:rsidRDefault="003354D4" w:rsidP="003354D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tr-TR"/>
        </w:rPr>
      </w:pPr>
      <w:r w:rsidRPr="003354D4"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tr-TR"/>
        </w:rPr>
        <w:lastRenderedPageBreak/>
        <w:t>Kabotaj Hattında Taşınan Araç Miktarının Bölgelere Göre Dağılımı</w:t>
      </w:r>
    </w:p>
    <w:p w:rsidR="003354D4" w:rsidRPr="003354D4" w:rsidRDefault="003354D4" w:rsidP="003354D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4"/>
          <w:lang w:eastAsia="tr-TR"/>
        </w:rPr>
      </w:pPr>
    </w:p>
    <w:tbl>
      <w:tblPr>
        <w:tblW w:w="10143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2940"/>
        <w:gridCol w:w="1329"/>
        <w:gridCol w:w="1309"/>
        <w:gridCol w:w="1325"/>
        <w:gridCol w:w="1409"/>
      </w:tblGrid>
      <w:tr w:rsidR="0053213E" w:rsidRPr="0053213E" w:rsidTr="0053213E">
        <w:trPr>
          <w:trHeight w:val="567"/>
        </w:trPr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  <w:t>Bölge</w:t>
            </w:r>
          </w:p>
        </w:tc>
        <w:tc>
          <w:tcPr>
            <w:tcW w:w="2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  <w:t>Hat</w:t>
            </w:r>
          </w:p>
        </w:tc>
        <w:tc>
          <w:tcPr>
            <w:tcW w:w="26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  <w:t>2018</w:t>
            </w:r>
          </w:p>
        </w:tc>
        <w:tc>
          <w:tcPr>
            <w:tcW w:w="2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  <w:t>2019</w:t>
            </w:r>
          </w:p>
        </w:tc>
      </w:tr>
      <w:tr w:rsidR="0053213E" w:rsidRPr="0053213E" w:rsidTr="0053213E">
        <w:trPr>
          <w:trHeight w:val="368"/>
        </w:trPr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</w:pPr>
          </w:p>
        </w:tc>
        <w:tc>
          <w:tcPr>
            <w:tcW w:w="2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  <w:t>Araç (Adet)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  <w:t>Araç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  <w:t xml:space="preserve"> </w:t>
            </w:r>
            <w:r w:rsidRPr="0053213E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  <w:t xml:space="preserve"> </w:t>
            </w:r>
            <w:r w:rsidRPr="0053213E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  <w:t>Mil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  <w:t>Araç (Adet)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  <w:t>Araç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  <w:t xml:space="preserve"> </w:t>
            </w:r>
            <w:r w:rsidRPr="0053213E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  <w:t xml:space="preserve"> </w:t>
            </w:r>
            <w:r w:rsidRPr="0053213E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tr-TR"/>
              </w:rPr>
              <w:t>Mil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İstanbul Bölgesi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Eskihisar</w:t>
            </w:r>
            <w:proofErr w:type="spellEnd"/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-Topçular/Tavşanlı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4.481.326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21.062.232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4.810.734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22.610.450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Sirkeci-Harem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1.797.286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3.055.386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1.725.470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2.933.299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İstinye-Çubuklu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814.585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953.064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649.064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759.405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Ambarlı-Topçular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8.491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331.149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3.306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128.934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Zeyport</w:t>
            </w:r>
            <w:proofErr w:type="spellEnd"/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-Maltepe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10.846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151.844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12.359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173.026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7.112.534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25.553.676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7.200.933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26.605.114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Marmara Havzası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Erdek-</w:t>
            </w:r>
            <w:proofErr w:type="spellStart"/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Avşa</w:t>
            </w:r>
            <w:proofErr w:type="spellEnd"/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(Türkeli)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30.330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545.104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31.912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573.834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Tekirdağ-</w:t>
            </w:r>
            <w:proofErr w:type="spellStart"/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Avşa</w:t>
            </w:r>
            <w:proofErr w:type="spellEnd"/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(Türkeli)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31.468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788.829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26.262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657.387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Marmara A.-Erdek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47.207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939.049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42.432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844.029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Marmara A.-Tekirdağ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17.900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8.975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Erdek-Tekirdağ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5.514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220.009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2.946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117.545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Derince-Tekirdağ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5.043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126.075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4.997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124.925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Marmara Ereğlisi-Bandırma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1.659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61.383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Ambarlı-Bandırma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166.172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8.640.944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158.694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8.252.088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Tekirdağ-Bandırma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23.624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1.078.596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26.188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1.196.482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Yenikapı-Yalova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375.716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9.768.616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384.683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10.001.758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Yenikapı-Bandırma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155.158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9.930.112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110.154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7.049.856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Yenikapı-Bursa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254.158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11.310.031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249.420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11.099.190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Pendik-Yalova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540.540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7.297.290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651.424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8.794.224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74.422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2.168.347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75.922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2.207.782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1.711.727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52.892.284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1.765.393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50.928.076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Çanakkale Bölgesi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Gelibolu-Çardak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546.427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1.366.068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496.518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1.241.295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Gelibolu-</w:t>
            </w:r>
            <w:proofErr w:type="gramStart"/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Lapseki</w:t>
            </w:r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981.911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3.633.071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1.069.081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3.955.600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Çanakkale-</w:t>
            </w:r>
            <w:proofErr w:type="spellStart"/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Kilitbahir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857.498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857.498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922.342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922.342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Çanakkale-Eceabat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485.686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1.311.352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485.569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1.311.036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Kepez-Eceabat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Karabiga</w:t>
            </w:r>
            <w:proofErr w:type="spellEnd"/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-Tekirdağ-Bandırma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10.509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388.833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Kabatepe-Gökçeada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187.869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2.648.953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195.313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2.753.913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G.Yükyeri</w:t>
            </w:r>
            <w:proofErr w:type="spellEnd"/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-Bozcaada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206.232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845.551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227.515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932.812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3.265.623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10.662.493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3.406.847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11.505.831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İzmir Bölgesi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Bodrum-Datça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16.162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290.916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17.260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310.680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Bostanlı-</w:t>
            </w:r>
            <w:proofErr w:type="spellStart"/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Üçkuyular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1.033.602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2.480.645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1.020.357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2.448.857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1.049.764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2.771.561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1.037.617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2.759.537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Van Gölü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Tatvan-Van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20.172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988.428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10.012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490.588</w:t>
            </w:r>
          </w:p>
        </w:tc>
      </w:tr>
      <w:tr w:rsidR="0053213E" w:rsidRPr="0053213E" w:rsidTr="0053213E">
        <w:trPr>
          <w:trHeight w:val="297"/>
        </w:trPr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20.172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988.428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10.012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490.588</w:t>
            </w:r>
          </w:p>
        </w:tc>
      </w:tr>
      <w:tr w:rsidR="0053213E" w:rsidRPr="0053213E" w:rsidTr="0053213E">
        <w:trPr>
          <w:trHeight w:val="438"/>
        </w:trPr>
        <w:tc>
          <w:tcPr>
            <w:tcW w:w="4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GENEL TOPLAM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13.159.820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92.868.441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13.420.802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53213E" w:rsidRPr="0053213E" w:rsidRDefault="0053213E" w:rsidP="00532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321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92.289.145</w:t>
            </w:r>
          </w:p>
        </w:tc>
      </w:tr>
    </w:tbl>
    <w:p w:rsidR="005F7D11" w:rsidRDefault="005F7D11" w:rsidP="0053213E"/>
    <w:sectPr w:rsidR="005F7D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B4" w:rsidRDefault="00FF03B4" w:rsidP="00FF03B4">
      <w:pPr>
        <w:spacing w:after="0" w:line="240" w:lineRule="auto"/>
      </w:pPr>
      <w:r>
        <w:separator/>
      </w:r>
    </w:p>
  </w:endnote>
  <w:endnote w:type="continuationSeparator" w:id="0">
    <w:p w:rsidR="00FF03B4" w:rsidRDefault="00FF03B4" w:rsidP="00FF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B4" w:rsidRDefault="00FF03B4">
    <w:pPr>
      <w:pStyle w:val="AltBilgi"/>
    </w:pPr>
    <w:r w:rsidRPr="00FF03B4">
      <w:t>Denizcilik Genel Müdürlüğü – Deniz Ticareti Dairesi Başkanlığı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B4" w:rsidRDefault="00FF03B4" w:rsidP="00FF03B4">
      <w:pPr>
        <w:spacing w:after="0" w:line="240" w:lineRule="auto"/>
      </w:pPr>
      <w:r>
        <w:separator/>
      </w:r>
    </w:p>
  </w:footnote>
  <w:footnote w:type="continuationSeparator" w:id="0">
    <w:p w:rsidR="00FF03B4" w:rsidRDefault="00FF03B4" w:rsidP="00FF0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7E"/>
    <w:rsid w:val="0022522A"/>
    <w:rsid w:val="003354D4"/>
    <w:rsid w:val="0053213E"/>
    <w:rsid w:val="005848B3"/>
    <w:rsid w:val="005C317E"/>
    <w:rsid w:val="005F7D11"/>
    <w:rsid w:val="00847028"/>
    <w:rsid w:val="00937697"/>
    <w:rsid w:val="00972294"/>
    <w:rsid w:val="00AA2F34"/>
    <w:rsid w:val="00AB54D7"/>
    <w:rsid w:val="00D73F1A"/>
    <w:rsid w:val="00F01EEB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EF8E"/>
  <w15:chartTrackingRefBased/>
  <w15:docId w15:val="{6019A437-4F6E-4B99-AAF5-1B8C0E45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3B4"/>
  </w:style>
  <w:style w:type="paragraph" w:styleId="AltBilgi">
    <w:name w:val="footer"/>
    <w:basedOn w:val="Normal"/>
    <w:link w:val="AltBilgiChar"/>
    <w:uiPriority w:val="99"/>
    <w:unhideWhenUsed/>
    <w:rsid w:val="00FF0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0.0.85\PIDB_Ortak\&#304;STAT&#304;ST&#304;K%20&#350;UBES&#304;\Genel%20M&#252;d&#252;r'&#252;n%20Tabletine%20Koyulacak%20Bilgiler_2019\2020\Ocak-2020\2018%20-2019%20Hatlar%20Baz&#305;nda%20Kabotaj%20(2019)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  <c:spPr>
        <a:noFill/>
      </c:spPr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7.0599518810148934E-2"/>
          <c:y val="9.4376103918129145E-2"/>
          <c:w val="0.9294004811898513"/>
          <c:h val="0.76096582510068445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'[2018 -2019 Hatlar Bazında Kabotaj (2019).xlsx]2019 ARAÇ '!$B$3</c:f>
              <c:strCache>
                <c:ptCount val="1"/>
                <c:pt idx="0">
                  <c:v>ARAÇ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0"/>
              <c:layout>
                <c:manualLayout>
                  <c:x val="4.0399112594901501E-3"/>
                  <c:y val="-0.225645102255217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364-4BFF-A41C-B6B31D9374DD}"/>
                </c:ext>
              </c:extLst>
            </c:dLbl>
            <c:dLbl>
              <c:idx val="1"/>
              <c:layout>
                <c:manualLayout>
                  <c:x val="5.2232785684867061E-3"/>
                  <c:y val="-0.227375052958643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364-4BFF-A41C-B6B31D9374DD}"/>
                </c:ext>
              </c:extLst>
            </c:dLbl>
            <c:dLbl>
              <c:idx val="2"/>
              <c:layout>
                <c:manualLayout>
                  <c:x val="1.0391782760005581E-2"/>
                  <c:y val="-0.232616190802382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364-4BFF-A41C-B6B31D9374DD}"/>
                </c:ext>
              </c:extLst>
            </c:dLbl>
            <c:dLbl>
              <c:idx val="3"/>
              <c:layout>
                <c:manualLayout>
                  <c:x val="1.0689129377830724E-2"/>
                  <c:y val="-0.24702801320076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364-4BFF-A41C-B6B31D9374DD}"/>
                </c:ext>
              </c:extLst>
            </c:dLbl>
            <c:dLbl>
              <c:idx val="4"/>
              <c:layout>
                <c:manualLayout>
                  <c:x val="1.0835094063706512E-2"/>
                  <c:y val="-0.257988684528820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364-4BFF-A41C-B6B31D9374DD}"/>
                </c:ext>
              </c:extLst>
            </c:dLbl>
            <c:dLbl>
              <c:idx val="5"/>
              <c:layout>
                <c:manualLayout>
                  <c:x val="9.7829444929405009E-3"/>
                  <c:y val="-0.272448162019936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364-4BFF-A41C-B6B31D9374DD}"/>
                </c:ext>
              </c:extLst>
            </c:dLbl>
            <c:dLbl>
              <c:idx val="6"/>
              <c:layout>
                <c:manualLayout>
                  <c:x val="9.7728623960810432E-3"/>
                  <c:y val="-0.27508333492183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364-4BFF-A41C-B6B31D9374DD}"/>
                </c:ext>
              </c:extLst>
            </c:dLbl>
            <c:dLbl>
              <c:idx val="7"/>
              <c:layout>
                <c:manualLayout>
                  <c:x val="7.6571268461709877E-3"/>
                  <c:y val="-0.275294247138695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364-4BFF-A41C-B6B31D9374DD}"/>
                </c:ext>
              </c:extLst>
            </c:dLbl>
            <c:dLbl>
              <c:idx val="8"/>
              <c:layout>
                <c:manualLayout>
                  <c:x val="1.2517901364890196E-2"/>
                  <c:y val="-0.312093509745312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364-4BFF-A41C-B6B31D9374DD}"/>
                </c:ext>
              </c:extLst>
            </c:dLbl>
            <c:dLbl>
              <c:idx val="9"/>
              <c:layout>
                <c:manualLayout>
                  <c:x val="1.1466504189412204E-2"/>
                  <c:y val="-0.319146463469450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C364-4BFF-A41C-B6B31D9374DD}"/>
                </c:ext>
              </c:extLst>
            </c:dLbl>
            <c:dLbl>
              <c:idx val="10"/>
              <c:layout>
                <c:manualLayout>
                  <c:x val="7.6443361262748021E-3"/>
                  <c:y val="-0.332984272589590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C364-4BFF-A41C-B6B31D9374DD}"/>
                </c:ext>
              </c:extLst>
            </c:dLbl>
            <c:dLbl>
              <c:idx val="11"/>
              <c:layout>
                <c:manualLayout>
                  <c:x val="5.7332520947061018E-3"/>
                  <c:y val="-0.355322520444034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C364-4BFF-A41C-B6B31D9374DD}"/>
                </c:ext>
              </c:extLst>
            </c:dLbl>
            <c:dLbl>
              <c:idx val="12"/>
              <c:layout>
                <c:manualLayout>
                  <c:x val="5.7332520947061018E-3"/>
                  <c:y val="-0.3748457358530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C364-4BFF-A41C-B6B31D9374DD}"/>
                </c:ext>
              </c:extLst>
            </c:dLbl>
            <c:dLbl>
              <c:idx val="13"/>
              <c:layout>
                <c:manualLayout>
                  <c:x val="5.3763429480266391E-3"/>
                  <c:y val="-0.366213008076023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C364-4BFF-A41C-B6B31D9374DD}"/>
                </c:ext>
              </c:extLst>
            </c:dLbl>
            <c:dLbl>
              <c:idx val="14"/>
              <c:layout>
                <c:manualLayout>
                  <c:x val="2.6881714740133195E-3"/>
                  <c:y val="-0.361904619745716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C364-4BFF-A41C-B6B31D9374DD}"/>
                </c:ext>
              </c:extLst>
            </c:dLbl>
            <c:dLbl>
              <c:idx val="15"/>
              <c:layout>
                <c:manualLayout>
                  <c:x val="5.3763429480266391E-3"/>
                  <c:y val="-0.366213008076023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C364-4BFF-A41C-B6B31D9374DD}"/>
                </c:ext>
              </c:extLst>
            </c:dLbl>
            <c:dLbl>
              <c:idx val="16"/>
              <c:layout>
                <c:manualLayout>
                  <c:x val="5.3763185262219581E-3"/>
                  <c:y val="-0.379041198124994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C364-4BFF-A41C-B6B31D9374DD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'[2018 -2019 Hatlar Bazında Kabotaj (2019).xlsx]2019 ARAÇ '!$A$5:$A$21</c:f>
              <c:numCache>
                <c:formatCode>General</c:formatCode>
                <c:ptCount val="17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</c:numCache>
            </c:numRef>
          </c:cat>
          <c:val>
            <c:numRef>
              <c:f>'[2018 -2019 Hatlar Bazında Kabotaj (2019).xlsx]2019 ARAÇ '!$B$5:$B$21</c:f>
              <c:numCache>
                <c:formatCode>#,##0</c:formatCode>
                <c:ptCount val="17"/>
                <c:pt idx="0">
                  <c:v>6219645</c:v>
                </c:pt>
                <c:pt idx="1">
                  <c:v>6900922</c:v>
                </c:pt>
                <c:pt idx="2">
                  <c:v>6961643</c:v>
                </c:pt>
                <c:pt idx="3">
                  <c:v>7773689</c:v>
                </c:pt>
                <c:pt idx="4">
                  <c:v>8161999</c:v>
                </c:pt>
                <c:pt idx="5">
                  <c:v>8866797</c:v>
                </c:pt>
                <c:pt idx="6">
                  <c:v>9315772</c:v>
                </c:pt>
                <c:pt idx="7">
                  <c:v>9400735</c:v>
                </c:pt>
                <c:pt idx="8">
                  <c:v>10402917</c:v>
                </c:pt>
                <c:pt idx="9">
                  <c:v>10710645</c:v>
                </c:pt>
                <c:pt idx="10">
                  <c:v>11318561</c:v>
                </c:pt>
                <c:pt idx="11">
                  <c:v>12166505</c:v>
                </c:pt>
                <c:pt idx="12">
                  <c:v>13042399</c:v>
                </c:pt>
                <c:pt idx="13">
                  <c:v>13050241</c:v>
                </c:pt>
                <c:pt idx="14">
                  <c:v>12638289</c:v>
                </c:pt>
                <c:pt idx="15">
                  <c:v>13159820</c:v>
                </c:pt>
                <c:pt idx="16">
                  <c:v>13420802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C364-4BFF-A41C-B6B31D9374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8"/>
        <c:gapDepth val="144"/>
        <c:shape val="box"/>
        <c:axId val="158710736"/>
        <c:axId val="158711128"/>
        <c:axId val="0"/>
      </c:bar3DChart>
      <c:catAx>
        <c:axId val="158710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1050" b="1">
                <a:solidFill>
                  <a:schemeClr val="tx1"/>
                </a:solidFill>
              </a:defRPr>
            </a:pPr>
            <a:endParaRPr lang="tr-TR"/>
          </a:p>
        </c:txPr>
        <c:crossAx val="158711128"/>
        <c:crosses val="autoZero"/>
        <c:auto val="1"/>
        <c:lblAlgn val="ctr"/>
        <c:lblOffset val="100"/>
        <c:noMultiLvlLbl val="0"/>
      </c:catAx>
      <c:valAx>
        <c:axId val="15871112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lang="en-US" sz="1200">
                    <a:solidFill>
                      <a:schemeClr val="tx1"/>
                    </a:solidFill>
                  </a:defRPr>
                </a:pPr>
                <a:r>
                  <a:rPr lang="tr-TR" sz="1200"/>
                  <a:t>Milyon Adet</a:t>
                </a:r>
              </a:p>
            </c:rich>
          </c:tx>
          <c:layout>
            <c:manualLayout>
              <c:xMode val="edge"/>
              <c:yMode val="edge"/>
              <c:x val="1.4371911058287525E-2"/>
              <c:y val="2.0110521328603893E-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lang="en-US" sz="1050" b="1">
                <a:solidFill>
                  <a:schemeClr val="tx1"/>
                </a:solidFill>
              </a:defRPr>
            </a:pPr>
            <a:endParaRPr lang="tr-TR"/>
          </a:p>
        </c:txPr>
        <c:crossAx val="158710736"/>
        <c:crosses val="autoZero"/>
        <c:crossBetween val="between"/>
        <c:dispUnits>
          <c:builtInUnit val="millions"/>
        </c:dispUnits>
      </c:valAx>
    </c:plotArea>
    <c:plotVisOnly val="1"/>
    <c:dispBlanksAs val="gap"/>
    <c:showDLblsOverMax val="0"/>
  </c:chart>
  <c:spPr>
    <a:gradFill>
      <a:gsLst>
        <a:gs pos="0">
          <a:srgbClr val="9AB5E4"/>
        </a:gs>
        <a:gs pos="50000">
          <a:srgbClr val="C2D1ED"/>
        </a:gs>
        <a:gs pos="100000">
          <a:srgbClr val="E1E8F5"/>
        </a:gs>
        <a:gs pos="100000">
          <a:srgbClr val="FFEBFA"/>
        </a:gs>
      </a:gsLst>
      <a:lin ang="5400000" scaled="0"/>
    </a:gradFill>
    <a:ln>
      <a:solidFill>
        <a:srgbClr val="4F81BD"/>
      </a:solidFill>
    </a:ln>
  </c:spPr>
  <c:txPr>
    <a:bodyPr/>
    <a:lstStyle/>
    <a:p>
      <a:pPr>
        <a:defRPr>
          <a:solidFill>
            <a:schemeClr val="bg1"/>
          </a:solidFill>
        </a:defRPr>
      </a:pPr>
      <a:endParaRPr lang="tr-T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Burcu Guzel</dc:creator>
  <cp:keywords/>
  <dc:description/>
  <cp:lastModifiedBy>Mustafa Tolga Avci</cp:lastModifiedBy>
  <cp:revision>7</cp:revision>
  <dcterms:created xsi:type="dcterms:W3CDTF">2018-01-30T07:18:00Z</dcterms:created>
  <dcterms:modified xsi:type="dcterms:W3CDTF">2020-01-30T13:17:00Z</dcterms:modified>
</cp:coreProperties>
</file>